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bookmarkStart w:colFirst="0" w:colLast="0" w:name="_gjdgxs" w:id="0"/>
      <w:bookmarkEnd w:id="0"/>
      <w:r w:rsidDel="00000000" w:rsidR="00000000" w:rsidRPr="00000000">
        <w:rPr>
          <w:b w:val="1"/>
          <w:rtl w:val="0"/>
        </w:rPr>
        <w:t xml:space="preserve">Literacy 8* Name:_____________________________</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Name of Novel: ______________________________ Author: ________________________</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DIRECTIONS: Identify</w:t>
      </w:r>
      <w:r w:rsidDel="00000000" w:rsidR="00000000" w:rsidRPr="00000000">
        <w:rPr>
          <w:rtl w:val="0"/>
        </w:rPr>
        <w:t xml:space="preserve"> a main or secondary character’s predominant (most noticeable) personality trait. A character does not have to be fictional. For example, the character might exhibit greed or generosity or compassion or malice or determination or loyalty (students are not limited to these character traits).</w:t>
      </w:r>
      <w:r w:rsidDel="00000000" w:rsidR="00000000" w:rsidRPr="00000000">
        <w:rPr>
          <w:b w:val="1"/>
          <w:rtl w:val="0"/>
        </w:rPr>
        <w:t xml:space="preserve"> </w:t>
      </w:r>
      <w:r w:rsidDel="00000000" w:rsidR="00000000" w:rsidRPr="00000000">
        <w:rPr>
          <w:rtl w:val="0"/>
        </w:rPr>
        <w:t xml:space="preserve">Then,</w:t>
      </w:r>
      <w:r w:rsidDel="00000000" w:rsidR="00000000" w:rsidRPr="00000000">
        <w:rPr>
          <w:b w:val="1"/>
          <w:rtl w:val="0"/>
        </w:rPr>
        <w:t xml:space="preserve"> find</w:t>
      </w:r>
      <w:r w:rsidDel="00000000" w:rsidR="00000000" w:rsidRPr="00000000">
        <w:rPr>
          <w:rtl w:val="0"/>
        </w:rPr>
        <w:t xml:space="preserve"> three quotations throughout the book to support the trait; </w:t>
      </w:r>
      <w:r w:rsidDel="00000000" w:rsidR="00000000" w:rsidRPr="00000000">
        <w:rPr>
          <w:b w:val="1"/>
          <w:rtl w:val="0"/>
        </w:rPr>
        <w:t xml:space="preserve">record</w:t>
      </w:r>
      <w:r w:rsidDel="00000000" w:rsidR="00000000" w:rsidRPr="00000000">
        <w:rPr>
          <w:rtl w:val="0"/>
        </w:rPr>
        <w:t xml:space="preserve"> them using quotation marks and parenthetical citations of page numbers. Finally, for each quotation, </w:t>
      </w:r>
      <w:r w:rsidDel="00000000" w:rsidR="00000000" w:rsidRPr="00000000">
        <w:rPr>
          <w:b w:val="1"/>
          <w:rtl w:val="0"/>
        </w:rPr>
        <w:t xml:space="preserve">write</w:t>
      </w:r>
      <w:r w:rsidDel="00000000" w:rsidR="00000000" w:rsidRPr="00000000">
        <w:rPr>
          <w:rtl w:val="0"/>
        </w:rPr>
        <w:t xml:space="preserve"> a few sentences of explanation or clarification to support the choice. Remember not to write with first or second person pronouns. All this should be done in the organizer below. Please scroll past the organizer to view an exemplar, a model, for one of the </w:t>
      </w:r>
    </w:p>
    <w:p w:rsidR="00000000" w:rsidDel="00000000" w:rsidP="00000000" w:rsidRDefault="00000000" w:rsidRPr="00000000">
      <w:pPr>
        <w:pBdr>
          <w:top w:color="000000" w:space="1" w:sz="4" w:val="single"/>
        </w:pBdr>
        <w:contextualSpacing w:val="0"/>
        <w:rPr/>
      </w:pPr>
      <w:r w:rsidDel="00000000" w:rsidR="00000000" w:rsidRPr="00000000">
        <w:rPr>
          <w:b w:val="1"/>
          <w:rtl w:val="0"/>
        </w:rPr>
        <w:t xml:space="preserve">NOTE:</w:t>
      </w:r>
      <w:r w:rsidDel="00000000" w:rsidR="00000000" w:rsidRPr="00000000">
        <w:rPr>
          <w:rtl w:val="0"/>
        </w:rPr>
        <w:t xml:space="preserve"> Please write neatly in pencil.</w:t>
        <w:br w:type="textWrapp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Character’s Name:______________________________________________</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Personality Trait: _______________________________________________</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First</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Quot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br w:type="textWrapping"/>
        <w:t xml:space="preserve">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Second Quot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br w:type="textWrapping"/>
        <w:t xml:space="preserve">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w:t>
        <w:br w:type="textWrapping"/>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Third</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Quot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br w:type="textWrapping"/>
        <w:t xml:space="preserve">Explanat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Model from Toni Cade Bambara’s “Raymond’s Run”</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Character’s Name: Squeaky</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Personality Trait: Pugnacity</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Quotation: “I don’t play the dozens or believe in standing around with somebody in my face doing a lot of talking. I much rather just knock you down [. . .]” (115).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Explanation: Never concerned about the size or age of her opponent, Squeaky confronts her offenders eager for a fight. Youngsters can be cruel, and Squeaky more than likely endures stares and insults about Raymond daily. She could choose to ignore the comments and stares, take a deep relaxing breath, and walk away, but she does not—she is a combatant and enjoys confrontations. Alternatively, Squeaky could propose to the offenders that they treat her brother more compassionately. After all, she could remind them, Raymond is cognitively disabled and needs help, not hurt. Instead, she allows her warlike nature to dominate. She is often engaged in an altercation. </w:t>
      </w: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before="720"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sz w:val="24"/>
        <w:szCs w:val="24"/>
        <w:rtl w:val="0"/>
      </w:rPr>
      <w:t xml:space="preserve">Summer Reading 2017 for Incoming Eighth Graders:  Fiction AND Nonfiction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